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4C3E" w14:textId="77777777" w:rsidR="0011602A" w:rsidRDefault="0011602A" w:rsidP="0011602A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000000"/>
          <w:kern w:val="0"/>
          <w:sz w:val="21"/>
          <w:szCs w:val="21"/>
        </w:rPr>
      </w:pPr>
      <w:proofErr w:type="gramStart"/>
      <w:r w:rsidRPr="0011602A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  <w:t>鋼版深度</w:t>
      </w:r>
      <w:proofErr w:type="gramEnd"/>
      <w:r w:rsidRPr="0011602A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  <w:t>與印刷的關係</w:t>
      </w:r>
      <w:r w:rsidRPr="0011602A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  <w:br/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1.</w:t>
      </w:r>
      <w:r w:rsidRPr="0011602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細的線條適合較淺的版,反之,粗的線條或圖案則需較深的版</w:t>
      </w:r>
    </w:p>
    <w:p w14:paraId="5686B1AD" w14:textId="77777777" w:rsidR="0011602A" w:rsidRDefault="0011602A" w:rsidP="0011602A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000000"/>
          <w:kern w:val="0"/>
          <w:sz w:val="21"/>
          <w:szCs w:val="21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2.</w:t>
      </w:r>
      <w:r w:rsidRPr="0011602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光滑面的素材需要用較淺的版,</w:t>
      </w:r>
      <w:proofErr w:type="gramStart"/>
      <w:r w:rsidRPr="0011602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反之,咬花面</w:t>
      </w:r>
      <w:proofErr w:type="gramEnd"/>
      <w:r w:rsidRPr="0011602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或會吸墨的材質(如尼龍布等)則需較深的版</w:t>
      </w:r>
    </w:p>
    <w:p w14:paraId="085B1ACF" w14:textId="66128ADF" w:rsidR="00DE5773" w:rsidRDefault="0011602A" w:rsidP="0011602A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000000"/>
          <w:kern w:val="0"/>
          <w:sz w:val="21"/>
          <w:szCs w:val="21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3.</w:t>
      </w:r>
      <w:r w:rsidRPr="0011602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  <w:t>淺色的素材印深色的油墨可用較淺的版,深色的素材印淺色的油墨可用較深的版</w:t>
      </w:r>
    </w:p>
    <w:p w14:paraId="70667622" w14:textId="25CEF07D" w:rsidR="00A8225B" w:rsidRDefault="00A8225B" w:rsidP="0011602A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000000"/>
          <w:kern w:val="0"/>
          <w:sz w:val="21"/>
          <w:szCs w:val="21"/>
        </w:rPr>
      </w:pPr>
    </w:p>
    <w:p w14:paraId="0AD3FC2A" w14:textId="77777777" w:rsidR="00A8225B" w:rsidRDefault="00A8225B" w:rsidP="00A8225B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/>
          <w:color w:val="323232"/>
        </w:rPr>
      </w:pPr>
      <w:r>
        <w:rPr>
          <w:rFonts w:ascii="微軟正黑體" w:eastAsia="微軟正黑體" w:hAnsi="微軟正黑體" w:hint="eastAsia"/>
          <w:color w:val="323232"/>
          <w:sz w:val="36"/>
          <w:szCs w:val="36"/>
        </w:rPr>
        <w:t>SKD11特性：</w:t>
      </w:r>
    </w:p>
    <w:p w14:paraId="017D856B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耐磨性大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，淬火性佳，淬火變形少</w:t>
      </w:r>
    </w:p>
    <w:p w14:paraId="47740927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熱處理鋼板，硬度可達HRC58-62度</w:t>
      </w:r>
    </w:p>
    <w:p w14:paraId="498FE83F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價格中等，硬度高，最常使用之鋼板</w:t>
      </w:r>
    </w:p>
    <w:p w14:paraId="30CD9E57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常用於大量生產模具</w:t>
      </w:r>
    </w:p>
    <w:p w14:paraId="5B404732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高碳、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高鉻型合金鋼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，具極高的硬度以及適宜的韌性，並有回火硬化效果，為典型的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風硬鋼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，是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目前耐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磨耗性最好的合金工具鋼之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一</w:t>
      </w:r>
      <w:proofErr w:type="gramEnd"/>
    </w:p>
    <w:p w14:paraId="4BF82FF7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添加有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鉬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、</w:t>
      </w:r>
      <w:proofErr w:type="gramStart"/>
      <w:r>
        <w:rPr>
          <w:rFonts w:ascii="微軟正黑體" w:eastAsia="微軟正黑體" w:hAnsi="微軟正黑體" w:hint="eastAsia"/>
          <w:b/>
          <w:bCs/>
          <w:color w:val="323232"/>
        </w:rPr>
        <w:t>釩等元素</w:t>
      </w:r>
      <w:proofErr w:type="gramEnd"/>
      <w:r>
        <w:rPr>
          <w:rFonts w:ascii="微軟正黑體" w:eastAsia="微軟正黑體" w:hAnsi="微軟正黑體" w:hint="eastAsia"/>
          <w:b/>
          <w:bCs/>
          <w:color w:val="323232"/>
        </w:rPr>
        <w:t>，故兼具耐磨、不變形、耐衝擊等特性</w:t>
      </w:r>
    </w:p>
    <w:p w14:paraId="0B54F8AA" w14:textId="77777777" w:rsidR="00A8225B" w:rsidRDefault="00A8225B" w:rsidP="00A8225B">
      <w:pPr>
        <w:pStyle w:val="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="微軟正黑體" w:eastAsia="微軟正黑體" w:hAnsi="微軟正黑體" w:hint="eastAsia"/>
          <w:b/>
          <w:bCs/>
          <w:color w:val="323232"/>
        </w:rPr>
      </w:pPr>
      <w:r>
        <w:rPr>
          <w:rFonts w:ascii="微軟正黑體" w:eastAsia="微軟正黑體" w:hAnsi="微軟正黑體" w:hint="eastAsia"/>
          <w:b/>
          <w:bCs/>
          <w:color w:val="323232"/>
        </w:rPr>
        <w:t>經過二次精煉，清淨度佳，晶粒微細</w:t>
      </w:r>
    </w:p>
    <w:p w14:paraId="0EECA1E3" w14:textId="77777777" w:rsidR="00A8225B" w:rsidRPr="00A8225B" w:rsidRDefault="00A8225B" w:rsidP="0011602A">
      <w:pPr>
        <w:widowControl/>
        <w:spacing w:line="240" w:lineRule="auto"/>
        <w:ind w:left="120"/>
        <w:rPr>
          <w:rFonts w:ascii="微軟正黑體" w:eastAsia="微軟正黑體" w:hAnsi="微軟正黑體" w:cs="Arial" w:hint="eastAsia"/>
          <w:b/>
          <w:bCs/>
          <w:color w:val="000000"/>
          <w:kern w:val="0"/>
          <w:sz w:val="21"/>
          <w:szCs w:val="21"/>
        </w:rPr>
      </w:pPr>
    </w:p>
    <w:sectPr w:rsidR="00A8225B" w:rsidRPr="00A82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430D" w14:textId="77777777" w:rsidR="00E22B20" w:rsidRDefault="00E22B20" w:rsidP="0064283B">
      <w:pPr>
        <w:spacing w:line="240" w:lineRule="auto"/>
      </w:pPr>
      <w:r>
        <w:separator/>
      </w:r>
    </w:p>
  </w:endnote>
  <w:endnote w:type="continuationSeparator" w:id="0">
    <w:p w14:paraId="074D468B" w14:textId="77777777" w:rsidR="00E22B20" w:rsidRDefault="00E22B20" w:rsidP="0064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2C53" w14:textId="77777777" w:rsidR="00E22B20" w:rsidRDefault="00E22B20" w:rsidP="0064283B">
      <w:pPr>
        <w:spacing w:line="240" w:lineRule="auto"/>
      </w:pPr>
      <w:r>
        <w:separator/>
      </w:r>
    </w:p>
  </w:footnote>
  <w:footnote w:type="continuationSeparator" w:id="0">
    <w:p w14:paraId="5AB7E14D" w14:textId="77777777" w:rsidR="00E22B20" w:rsidRDefault="00E22B20" w:rsidP="00642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32270"/>
    <w:multiLevelType w:val="multilevel"/>
    <w:tmpl w:val="C8BA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7" w15:restartNumberingAfterBreak="0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91"/>
    <w:rsid w:val="0011602A"/>
    <w:rsid w:val="00134591"/>
    <w:rsid w:val="00213409"/>
    <w:rsid w:val="002E7633"/>
    <w:rsid w:val="0064283B"/>
    <w:rsid w:val="00644755"/>
    <w:rsid w:val="009B1D26"/>
    <w:rsid w:val="00A8225B"/>
    <w:rsid w:val="00D27BA2"/>
    <w:rsid w:val="00DE5773"/>
    <w:rsid w:val="00E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8A8EF"/>
  <w15:docId w15:val="{05592BE7-FB15-46A6-857F-6575E76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1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Angelko</cp:lastModifiedBy>
  <cp:revision>2</cp:revision>
  <dcterms:created xsi:type="dcterms:W3CDTF">2020-07-21T10:09:00Z</dcterms:created>
  <dcterms:modified xsi:type="dcterms:W3CDTF">2020-07-21T10:09:00Z</dcterms:modified>
</cp:coreProperties>
</file>